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1467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08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Бордунов М.Б.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находящийся по адресу: ХМАО-Югра, г. Сургут,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308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</w:t>
      </w:r>
      <w:r>
        <w:rPr>
          <w:rFonts w:ascii="Times New Roman" w:eastAsia="Times New Roman" w:hAnsi="Times New Roman" w:cs="Times New Roman"/>
          <w:sz w:val="27"/>
          <w:szCs w:val="27"/>
        </w:rPr>
        <w:t>Бакирова Р.А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 1 ст. 6.9 Кодекса Российской Федерации об административных правонарушениях,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Бакирова Руслана </w:t>
      </w:r>
      <w:r>
        <w:rPr>
          <w:rFonts w:ascii="Times New Roman" w:eastAsia="Times New Roman" w:hAnsi="Times New Roman" w:cs="Times New Roman"/>
          <w:sz w:val="27"/>
          <w:szCs w:val="27"/>
        </w:rPr>
        <w:t>Азаматовича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5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08.10.2025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здании КУ ХМАО-Югры «СК ПНД» по ул. Юности д. 1, г.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Бакиров Р.А</w:t>
      </w:r>
      <w:r>
        <w:rPr>
          <w:rFonts w:ascii="Times New Roman" w:eastAsia="Times New Roman" w:hAnsi="Times New Roman" w:cs="Times New Roman"/>
          <w:sz w:val="27"/>
          <w:szCs w:val="27"/>
        </w:rPr>
        <w:t>. не выполнил законное требование сотрудника полиции, а также медицинского работника о прохождении медицинского освидетельствования на состояние опьянения, в отношении него имелись достаточные основания полагать 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шаткая походка, невнятная речь, бледный покров кожи, заторможенности движения, плохая ориентация на местности, зрачки расширены, не реагировали на свет, красный цвет белков глаз, неконтролируемость действий, </w:t>
      </w:r>
      <w:r>
        <w:rPr>
          <w:rFonts w:ascii="Times New Roman" w:eastAsia="Times New Roman" w:hAnsi="Times New Roman" w:cs="Times New Roman"/>
          <w:sz w:val="27"/>
          <w:szCs w:val="27"/>
        </w:rPr>
        <w:t>поведение не свойственное обстановке)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7"/>
          <w:szCs w:val="27"/>
        </w:rPr>
        <w:t>психоактивные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вещества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Бакиров Р.А.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>вину признал,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08.10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</w:t>
      </w:r>
      <w:r>
        <w:rPr>
          <w:rFonts w:ascii="Times New Roman" w:eastAsia="Times New Roman" w:hAnsi="Times New Roman" w:cs="Times New Roman"/>
          <w:sz w:val="27"/>
          <w:szCs w:val="27"/>
        </w:rPr>
        <w:t>рапорт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сотрудник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полиции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объяснениями свидетеля;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актом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5541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08.10</w:t>
      </w:r>
      <w:r>
        <w:rPr>
          <w:rFonts w:ascii="Times New Roman" w:eastAsia="Times New Roman" w:hAnsi="Times New Roman" w:cs="Times New Roman"/>
          <w:sz w:val="27"/>
          <w:szCs w:val="27"/>
        </w:rPr>
        <w:t>.2025;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объяснениями </w:t>
      </w:r>
      <w:r>
        <w:rPr>
          <w:rFonts w:ascii="Times New Roman" w:eastAsia="Times New Roman" w:hAnsi="Times New Roman" w:cs="Times New Roman"/>
          <w:sz w:val="27"/>
          <w:szCs w:val="27"/>
        </w:rPr>
        <w:t>Попик О.А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объяснениями </w:t>
      </w:r>
      <w:r>
        <w:rPr>
          <w:rFonts w:ascii="Times New Roman" w:eastAsia="Times New Roman" w:hAnsi="Times New Roman" w:cs="Times New Roman"/>
          <w:sz w:val="27"/>
          <w:szCs w:val="27"/>
        </w:rPr>
        <w:t>Бакирова Р.А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другими материалами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Бакирова Р.А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ч.1 ст. 6.9 КоАП РФ.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Бакирова Р.А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ч.1 ст. 6.9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7"/>
          <w:szCs w:val="27"/>
        </w:rPr>
        <w:t>психоактивные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вещества.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 суд в соответствии с ч.2 ст.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7"/>
          <w:szCs w:val="27"/>
        </w:rPr>
        <w:t>Бакирова Р.А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в соответствии со ст. 4.2 КоАП РФ,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предусмотренным ст. 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ind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Бакирова Руслана </w:t>
      </w:r>
      <w:r>
        <w:rPr>
          <w:rFonts w:ascii="Times New Roman" w:eastAsia="Times New Roman" w:hAnsi="Times New Roman" w:cs="Times New Roman"/>
          <w:sz w:val="27"/>
          <w:szCs w:val="27"/>
        </w:rPr>
        <w:t>Азаматовича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 6.9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подвергнуть наказанию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ареста сроком на 10 (десять) суток.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административного ареста исчислять с момента административного задержания, то есть с 01 часов 50 минут 08.10.2025.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2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судебного участка №2 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08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>октября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1467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-2602/20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ind w:firstLine="142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>О.П. Куликова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9">
    <w:name w:val="cat-UserDefined grp-25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